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7C" w:rsidRDefault="0046027C" w:rsidP="0046027C">
      <w:pPr>
        <w:rPr>
          <w:b/>
          <w:u w:val="single"/>
        </w:rPr>
      </w:pPr>
      <w:r w:rsidRPr="00AF37BD">
        <w:rPr>
          <w:b/>
          <w:u w:val="single"/>
        </w:rPr>
        <w:t>Scientific Processes, Measurement, and Calculations</w:t>
      </w:r>
    </w:p>
    <w:p w:rsidR="0046027C" w:rsidRPr="00130E78" w:rsidRDefault="0046027C" w:rsidP="0046027C">
      <w:pPr>
        <w:rPr>
          <w:b/>
        </w:rPr>
      </w:pPr>
      <w:r>
        <w:rPr>
          <w:b/>
        </w:rPr>
        <w:t xml:space="preserve">          </w:t>
      </w:r>
      <w:smartTag w:uri="urn:schemas-microsoft-com:office:smarttags" w:element="place">
        <w:smartTag w:uri="urn:schemas-microsoft-com:office:smarttags" w:element="PlaceName">
          <w:r w:rsidRPr="00130E78">
            <w:rPr>
              <w:b/>
            </w:rPr>
            <w:t>Travis</w:t>
          </w:r>
        </w:smartTag>
        <w:r w:rsidRPr="00130E78">
          <w:rPr>
            <w:b/>
          </w:rPr>
          <w:t xml:space="preserve"> </w:t>
        </w:r>
        <w:smartTag w:uri="urn:schemas-microsoft-com:office:smarttags" w:element="PlaceName">
          <w:r w:rsidRPr="00130E78">
            <w:rPr>
              <w:b/>
            </w:rPr>
            <w:t>High School</w:t>
          </w:r>
        </w:smartTag>
      </w:smartTag>
      <w:r w:rsidRPr="00130E78">
        <w:rPr>
          <w:b/>
        </w:rPr>
        <w:t xml:space="preserve"> / Mrs. Paul</w:t>
      </w:r>
    </w:p>
    <w:p w:rsidR="0046027C" w:rsidRDefault="0046027C" w:rsidP="0046027C">
      <w:pPr>
        <w:rPr>
          <w:b/>
          <w:u w:val="single"/>
        </w:rPr>
      </w:pPr>
    </w:p>
    <w:p w:rsidR="0046027C" w:rsidRDefault="0046027C" w:rsidP="0046027C">
      <w:pPr>
        <w:numPr>
          <w:ilvl w:val="0"/>
          <w:numId w:val="1"/>
        </w:numPr>
      </w:pPr>
      <w:r>
        <w:rPr>
          <w:b/>
        </w:rPr>
        <w:t xml:space="preserve"> </w:t>
      </w:r>
      <w:r w:rsidRPr="00B61394">
        <w:rPr>
          <w:b/>
        </w:rPr>
        <w:t>Lab Safety:</w:t>
      </w:r>
      <w:r>
        <w:t xml:space="preserve">  Common safety equipment for students</w:t>
      </w:r>
    </w:p>
    <w:p w:rsidR="0046027C" w:rsidRDefault="0046027C" w:rsidP="0046027C"/>
    <w:p w:rsidR="0046027C" w:rsidRDefault="0046027C" w:rsidP="0046027C">
      <w:r>
        <w:rPr>
          <w:noProof/>
        </w:rPr>
        <w:drawing>
          <wp:inline distT="0" distB="0" distL="0" distR="0">
            <wp:extent cx="2101850" cy="18884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01850" cy="1888490"/>
                    </a:xfrm>
                    <a:prstGeom prst="rect">
                      <a:avLst/>
                    </a:prstGeom>
                    <a:noFill/>
                    <a:ln w="9525">
                      <a:noFill/>
                      <a:miter lim="800000"/>
                      <a:headEnd/>
                      <a:tailEnd/>
                    </a:ln>
                  </pic:spPr>
                </pic:pic>
              </a:graphicData>
            </a:graphic>
          </wp:inline>
        </w:drawing>
      </w:r>
    </w:p>
    <w:p w:rsidR="0046027C" w:rsidRDefault="0046027C" w:rsidP="0046027C"/>
    <w:p w:rsidR="0046027C" w:rsidRDefault="0046027C" w:rsidP="0046027C"/>
    <w:p w:rsidR="0046027C" w:rsidRDefault="0046027C" w:rsidP="0046027C">
      <w:r>
        <w:t xml:space="preserve">2.  </w:t>
      </w:r>
      <w:r w:rsidRPr="00F87BE6">
        <w:rPr>
          <w:b/>
        </w:rPr>
        <w:t>Common Safety Labels</w:t>
      </w:r>
      <w:r>
        <w:t xml:space="preserve">:  </w:t>
      </w:r>
    </w:p>
    <w:p w:rsidR="0046027C" w:rsidRDefault="0046027C" w:rsidP="004602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5328"/>
      </w:tblGrid>
      <w:tr w:rsidR="0046027C" w:rsidTr="001665E3">
        <w:tc>
          <w:tcPr>
            <w:tcW w:w="1728" w:type="dxa"/>
          </w:tcPr>
          <w:p w:rsidR="0046027C" w:rsidRDefault="0046027C" w:rsidP="001665E3">
            <w:r>
              <w:rPr>
                <w:noProof/>
              </w:rPr>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5328" w:type="dxa"/>
          </w:tcPr>
          <w:p w:rsidR="0046027C" w:rsidRDefault="0046027C" w:rsidP="001665E3">
            <w:pPr>
              <w:pStyle w:val="NormalWeb"/>
            </w:pPr>
            <w:r w:rsidRPr="004367B2">
              <w:rPr>
                <w:b/>
              </w:rPr>
              <w:t>Flammable liquids:</w:t>
            </w:r>
            <w:r>
              <w:t xml:space="preserve"> liquid that can catch </w:t>
            </w:r>
            <w:proofErr w:type="spellStart"/>
            <w:r>
              <w:t>fire.In</w:t>
            </w:r>
            <w:proofErr w:type="spellEnd"/>
            <w:r>
              <w:t xml:space="preserve"> the USA, there is a precise definition of </w:t>
            </w:r>
            <w:r w:rsidRPr="004367B2">
              <w:rPr>
                <w:b/>
                <w:bCs/>
              </w:rPr>
              <w:t>flammable liquid</w:t>
            </w:r>
            <w:r>
              <w:t xml:space="preserve"> as one with a </w:t>
            </w:r>
            <w:hyperlink r:id="rId7" w:tooltip="Flash point" w:history="1">
              <w:r>
                <w:rPr>
                  <w:rStyle w:val="Hyperlink"/>
                </w:rPr>
                <w:t>flash point</w:t>
              </w:r>
            </w:hyperlink>
            <w:r>
              <w:t xml:space="preserve"> below 100 degrees </w:t>
            </w:r>
            <w:hyperlink r:id="rId8" w:tooltip="Fahrenheit" w:history="1">
              <w:r>
                <w:rPr>
                  <w:rStyle w:val="Hyperlink"/>
                </w:rPr>
                <w:t>Fahrenheit</w:t>
              </w:r>
            </w:hyperlink>
          </w:p>
          <w:p w:rsidR="0046027C" w:rsidRDefault="0046027C" w:rsidP="001665E3">
            <w:r>
              <w:t xml:space="preserve">EX: </w:t>
            </w:r>
            <w:hyperlink r:id="rId9" w:tooltip="Methanol" w:history="1">
              <w:r>
                <w:rPr>
                  <w:rStyle w:val="Hyperlink"/>
                </w:rPr>
                <w:t>Methanol</w:t>
              </w:r>
            </w:hyperlink>
            <w:r>
              <w:t xml:space="preserve"> Flash point  (52 °F)</w:t>
            </w:r>
          </w:p>
          <w:p w:rsidR="0046027C" w:rsidRPr="00E253BC" w:rsidRDefault="0046027C" w:rsidP="001665E3">
            <w:hyperlink r:id="rId10" w:tooltip="Gasoline" w:history="1">
              <w:r>
                <w:rPr>
                  <w:rStyle w:val="Hyperlink"/>
                </w:rPr>
                <w:t>Gasoline</w:t>
              </w:r>
            </w:hyperlink>
            <w:r>
              <w:t xml:space="preserve"> Flash point (−40 °F)</w:t>
            </w:r>
          </w:p>
        </w:tc>
      </w:tr>
      <w:tr w:rsidR="0046027C" w:rsidTr="001665E3">
        <w:tc>
          <w:tcPr>
            <w:tcW w:w="1728" w:type="dxa"/>
          </w:tcPr>
          <w:p w:rsidR="0046027C" w:rsidRDefault="0046027C" w:rsidP="001665E3"/>
          <w:p w:rsidR="0046027C" w:rsidRPr="00E253BC" w:rsidRDefault="0046027C" w:rsidP="001665E3">
            <w:r>
              <w:rPr>
                <w:noProof/>
              </w:rPr>
              <w:drawing>
                <wp:inline distT="0" distB="0" distL="0" distR="0">
                  <wp:extent cx="962025" cy="962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5328" w:type="dxa"/>
          </w:tcPr>
          <w:p w:rsidR="0046027C" w:rsidRPr="00E253BC" w:rsidRDefault="0046027C" w:rsidP="001665E3">
            <w:r>
              <w:t xml:space="preserve">Corrosive Liquids: </w:t>
            </w:r>
            <w:proofErr w:type="gramStart"/>
            <w:r>
              <w:t>liquids  that</w:t>
            </w:r>
            <w:proofErr w:type="gramEnd"/>
            <w:r>
              <w:t xml:space="preserve"> will destroy or irreversibly damage another surface or substance with which it comes into contact  </w:t>
            </w:r>
            <w:r w:rsidRPr="004367B2">
              <w:rPr>
                <w:b/>
              </w:rPr>
              <w:t>EX.</w:t>
            </w:r>
            <w:r>
              <w:t xml:space="preserve">  Acids , Bleach</w:t>
            </w:r>
          </w:p>
        </w:tc>
      </w:tr>
      <w:tr w:rsidR="0046027C" w:rsidTr="001665E3">
        <w:tc>
          <w:tcPr>
            <w:tcW w:w="1728" w:type="dxa"/>
          </w:tcPr>
          <w:p w:rsidR="0046027C" w:rsidRDefault="0046027C" w:rsidP="001665E3">
            <w:r>
              <w:rPr>
                <w:noProof/>
              </w:rPr>
              <w:drawing>
                <wp:inline distT="0" distB="0" distL="0" distR="0">
                  <wp:extent cx="962025" cy="97409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62025" cy="974090"/>
                          </a:xfrm>
                          <a:prstGeom prst="rect">
                            <a:avLst/>
                          </a:prstGeom>
                          <a:noFill/>
                          <a:ln w="9525">
                            <a:noFill/>
                            <a:miter lim="800000"/>
                            <a:headEnd/>
                            <a:tailEnd/>
                          </a:ln>
                        </pic:spPr>
                      </pic:pic>
                    </a:graphicData>
                  </a:graphic>
                </wp:inline>
              </w:drawing>
            </w:r>
          </w:p>
        </w:tc>
        <w:tc>
          <w:tcPr>
            <w:tcW w:w="5328" w:type="dxa"/>
          </w:tcPr>
          <w:p w:rsidR="0046027C" w:rsidRDefault="0046027C" w:rsidP="001665E3">
            <w:r w:rsidRPr="004367B2">
              <w:rPr>
                <w:b/>
              </w:rPr>
              <w:t>Radioactive symbol:</w:t>
            </w:r>
            <w:r>
              <w:t xml:space="preserve"> the spontaneous emission of energy from unstable atoms undergoing radioactive decay due to an unstable nucleus.</w:t>
            </w:r>
          </w:p>
          <w:p w:rsidR="0046027C" w:rsidRPr="00E253BC" w:rsidRDefault="0046027C" w:rsidP="001665E3"/>
        </w:tc>
      </w:tr>
      <w:tr w:rsidR="0046027C" w:rsidTr="001665E3">
        <w:tc>
          <w:tcPr>
            <w:tcW w:w="1728" w:type="dxa"/>
          </w:tcPr>
          <w:p w:rsidR="0046027C" w:rsidRDefault="0046027C" w:rsidP="001665E3">
            <w:r>
              <w:rPr>
                <w:noProof/>
              </w:rPr>
              <w:lastRenderedPageBreak/>
              <w:drawing>
                <wp:inline distT="0" distB="0" distL="0" distR="0">
                  <wp:extent cx="760095" cy="760095"/>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760095" cy="760095"/>
                          </a:xfrm>
                          <a:prstGeom prst="rect">
                            <a:avLst/>
                          </a:prstGeom>
                          <a:noFill/>
                          <a:ln w="9525">
                            <a:noFill/>
                            <a:miter lim="800000"/>
                            <a:headEnd/>
                            <a:tailEnd/>
                          </a:ln>
                        </pic:spPr>
                      </pic:pic>
                    </a:graphicData>
                  </a:graphic>
                </wp:inline>
              </w:drawing>
            </w:r>
          </w:p>
        </w:tc>
        <w:tc>
          <w:tcPr>
            <w:tcW w:w="5328" w:type="dxa"/>
          </w:tcPr>
          <w:p w:rsidR="0046027C" w:rsidRPr="004367B2" w:rsidRDefault="0046027C" w:rsidP="001665E3">
            <w:pPr>
              <w:rPr>
                <w:b/>
              </w:rPr>
            </w:pPr>
            <w:r w:rsidRPr="004367B2">
              <w:rPr>
                <w:b/>
              </w:rPr>
              <w:t xml:space="preserve">Food Irradiation:  </w:t>
            </w:r>
            <w:r>
              <w:t xml:space="preserve">the process of exposing food to </w:t>
            </w:r>
            <w:hyperlink r:id="rId14" w:tooltip="Ionizing radiation" w:history="1">
              <w:r>
                <w:rPr>
                  <w:rStyle w:val="Hyperlink"/>
                </w:rPr>
                <w:t>ionizing radiation</w:t>
              </w:r>
            </w:hyperlink>
            <w:hyperlink r:id="rId15" w:anchor="cite_note-FI-0" w:history="1">
              <w:r w:rsidRPr="004367B2">
                <w:rPr>
                  <w:rStyle w:val="Hyperlink"/>
                  <w:vertAlign w:val="superscript"/>
                </w:rPr>
                <w:t>[1]</w:t>
              </w:r>
            </w:hyperlink>
            <w:r>
              <w:t xml:space="preserve"> to destroy </w:t>
            </w:r>
            <w:hyperlink r:id="rId16" w:tooltip="Microorganism" w:history="1">
              <w:r>
                <w:rPr>
                  <w:rStyle w:val="Hyperlink"/>
                </w:rPr>
                <w:t>microorganisms</w:t>
              </w:r>
            </w:hyperlink>
            <w:r>
              <w:t xml:space="preserve">, </w:t>
            </w:r>
            <w:hyperlink r:id="rId17" w:tooltip="Bacteria" w:history="1">
              <w:r>
                <w:rPr>
                  <w:rStyle w:val="Hyperlink"/>
                </w:rPr>
                <w:t>bacteria</w:t>
              </w:r>
            </w:hyperlink>
            <w:r>
              <w:t xml:space="preserve">, </w:t>
            </w:r>
            <w:hyperlink r:id="rId18" w:tooltip="Virus" w:history="1">
              <w:r>
                <w:rPr>
                  <w:rStyle w:val="Hyperlink"/>
                </w:rPr>
                <w:t>viruses</w:t>
              </w:r>
            </w:hyperlink>
            <w:r>
              <w:t xml:space="preserve">, or </w:t>
            </w:r>
            <w:hyperlink r:id="rId19" w:tooltip="Insect" w:history="1">
              <w:r>
                <w:rPr>
                  <w:rStyle w:val="Hyperlink"/>
                </w:rPr>
                <w:t>insects</w:t>
              </w:r>
            </w:hyperlink>
            <w:r>
              <w:t xml:space="preserve"> that might be present in the food. </w:t>
            </w:r>
          </w:p>
        </w:tc>
      </w:tr>
      <w:tr w:rsidR="0046027C" w:rsidTr="001665E3">
        <w:tc>
          <w:tcPr>
            <w:tcW w:w="1728" w:type="dxa"/>
          </w:tcPr>
          <w:p w:rsidR="0046027C" w:rsidRDefault="0046027C" w:rsidP="001665E3">
            <w:r>
              <w:rPr>
                <w:noProof/>
              </w:rPr>
              <w:drawing>
                <wp:inline distT="0" distB="0" distL="0" distR="0">
                  <wp:extent cx="949960" cy="94996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5328" w:type="dxa"/>
          </w:tcPr>
          <w:p w:rsidR="0046027C" w:rsidRPr="00E253BC" w:rsidRDefault="0046027C" w:rsidP="001665E3">
            <w:r w:rsidRPr="004367B2">
              <w:rPr>
                <w:b/>
              </w:rPr>
              <w:t>Eye wash Station and Safety Shower:</w:t>
            </w:r>
            <w:r w:rsidRPr="004367B2">
              <w:rPr>
                <w:rFonts w:cs="Arial"/>
                <w:sz w:val="27"/>
                <w:szCs w:val="27"/>
              </w:rPr>
              <w:t xml:space="preserve"> </w:t>
            </w:r>
            <w:r w:rsidRPr="004367B2">
              <w:rPr>
                <w:rFonts w:cs="Arial"/>
                <w:szCs w:val="20"/>
              </w:rPr>
              <w:t xml:space="preserve">Emergency </w:t>
            </w:r>
            <w:r w:rsidRPr="004367B2">
              <w:rPr>
                <w:rFonts w:cs="Arial"/>
                <w:b/>
                <w:szCs w:val="20"/>
              </w:rPr>
              <w:t xml:space="preserve">eye wash stations </w:t>
            </w:r>
            <w:r w:rsidRPr="004367B2">
              <w:rPr>
                <w:rFonts w:cs="Arial"/>
                <w:szCs w:val="20"/>
              </w:rPr>
              <w:t xml:space="preserve">are required for work environments that may expose employees to harmful chemicals. Though all proper precautions may be taken to prevent chemical exposure, accidents can still happen. Eye wash stations are designed to immediately flush contaminants out of the eyes after exposure. </w:t>
            </w:r>
            <w:r w:rsidRPr="004367B2">
              <w:rPr>
                <w:rFonts w:cs="Arial"/>
                <w:b/>
                <w:szCs w:val="20"/>
              </w:rPr>
              <w:t xml:space="preserve">Showers </w:t>
            </w:r>
            <w:r w:rsidRPr="004367B2">
              <w:rPr>
                <w:rFonts w:cs="Arial"/>
                <w:szCs w:val="20"/>
              </w:rPr>
              <w:t>will provide a larger volume of water than eye wash stations and can be used to rinse the entire body as well as clothing</w:t>
            </w:r>
          </w:p>
        </w:tc>
      </w:tr>
      <w:tr w:rsidR="0046027C" w:rsidTr="001665E3">
        <w:tc>
          <w:tcPr>
            <w:tcW w:w="1728" w:type="dxa"/>
          </w:tcPr>
          <w:p w:rsidR="0046027C" w:rsidRDefault="0046027C" w:rsidP="001665E3">
            <w:r>
              <w:rPr>
                <w:noProof/>
              </w:rPr>
              <w:drawing>
                <wp:inline distT="0" distB="0" distL="0" distR="0">
                  <wp:extent cx="949960" cy="926465"/>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949960" cy="926465"/>
                          </a:xfrm>
                          <a:prstGeom prst="rect">
                            <a:avLst/>
                          </a:prstGeom>
                          <a:noFill/>
                          <a:ln w="9525">
                            <a:noFill/>
                            <a:miter lim="800000"/>
                            <a:headEnd/>
                            <a:tailEnd/>
                          </a:ln>
                        </pic:spPr>
                      </pic:pic>
                    </a:graphicData>
                  </a:graphic>
                </wp:inline>
              </w:drawing>
            </w:r>
          </w:p>
        </w:tc>
        <w:tc>
          <w:tcPr>
            <w:tcW w:w="5328" w:type="dxa"/>
          </w:tcPr>
          <w:p w:rsidR="0046027C" w:rsidRDefault="0046027C" w:rsidP="001665E3">
            <w:r w:rsidRPr="004367B2">
              <w:rPr>
                <w:b/>
              </w:rPr>
              <w:t>Fire Blanket inside container:</w:t>
            </w:r>
            <w:r>
              <w:t xml:space="preserve"> A large piece of fireproof or fire resistant material, used exclusively to cover and extinguish a small fire</w:t>
            </w:r>
          </w:p>
        </w:tc>
      </w:tr>
      <w:tr w:rsidR="0046027C" w:rsidTr="001665E3">
        <w:tc>
          <w:tcPr>
            <w:tcW w:w="1728" w:type="dxa"/>
          </w:tcPr>
          <w:p w:rsidR="0046027C" w:rsidRDefault="0046027C" w:rsidP="001665E3">
            <w:r>
              <w:rPr>
                <w:noProof/>
              </w:rPr>
              <w:drawing>
                <wp:inline distT="0" distB="0" distL="0" distR="0">
                  <wp:extent cx="914400" cy="11163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914400" cy="1116330"/>
                          </a:xfrm>
                          <a:prstGeom prst="rect">
                            <a:avLst/>
                          </a:prstGeom>
                          <a:noFill/>
                          <a:ln w="9525">
                            <a:noFill/>
                            <a:miter lim="800000"/>
                            <a:headEnd/>
                            <a:tailEnd/>
                          </a:ln>
                        </pic:spPr>
                      </pic:pic>
                    </a:graphicData>
                  </a:graphic>
                </wp:inline>
              </w:drawing>
            </w:r>
          </w:p>
        </w:tc>
        <w:tc>
          <w:tcPr>
            <w:tcW w:w="5328" w:type="dxa"/>
          </w:tcPr>
          <w:p w:rsidR="0046027C" w:rsidRDefault="0046027C" w:rsidP="001665E3">
            <w:r w:rsidRPr="004367B2">
              <w:rPr>
                <w:b/>
              </w:rPr>
              <w:t>Fire Extinguisher</w:t>
            </w:r>
            <w:r>
              <w:t xml:space="preserve"> :a manually operated device for extinguishing small fires</w:t>
            </w:r>
          </w:p>
        </w:tc>
      </w:tr>
      <w:tr w:rsidR="0046027C" w:rsidTr="001665E3">
        <w:tc>
          <w:tcPr>
            <w:tcW w:w="1728" w:type="dxa"/>
          </w:tcPr>
          <w:p w:rsidR="0046027C" w:rsidRDefault="0046027C" w:rsidP="001665E3"/>
          <w:p w:rsidR="0046027C" w:rsidRDefault="0046027C" w:rsidP="001665E3">
            <w:r>
              <w:object w:dxaOrig="8280" w:dyaOrig="9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05pt;height:97.25pt" o:ole="">
                  <v:imagedata r:id="rId23" o:title=""/>
                </v:shape>
                <o:OLEObject Type="Embed" ProgID="PBrush" ShapeID="_x0000_i1025" DrawAspect="Content" ObjectID="_1344279742" r:id="rId24"/>
              </w:object>
            </w:r>
          </w:p>
        </w:tc>
        <w:tc>
          <w:tcPr>
            <w:tcW w:w="5328" w:type="dxa"/>
          </w:tcPr>
          <w:p w:rsidR="0046027C" w:rsidRPr="004367B2" w:rsidRDefault="0046027C" w:rsidP="001665E3">
            <w:pPr>
              <w:autoSpaceDE w:val="0"/>
              <w:autoSpaceDN w:val="0"/>
              <w:adjustRightInd w:val="0"/>
              <w:rPr>
                <w:rFonts w:ascii="Times New Roman" w:hAnsi="Times New Roman"/>
                <w:color w:val="auto"/>
                <w:szCs w:val="20"/>
              </w:rPr>
            </w:pPr>
            <w:r w:rsidRPr="004367B2">
              <w:rPr>
                <w:b/>
              </w:rPr>
              <w:t>MSDS (Material Safety Data Sheet)</w:t>
            </w:r>
            <w:r w:rsidRPr="004367B2">
              <w:rPr>
                <w:rFonts w:ascii="Times New Roman" w:hAnsi="Times New Roman"/>
                <w:b/>
                <w:color w:val="auto"/>
                <w:sz w:val="24"/>
              </w:rPr>
              <w:t xml:space="preserve"> </w:t>
            </w:r>
            <w:r w:rsidRPr="004367B2">
              <w:rPr>
                <w:rFonts w:ascii="Times New Roman" w:hAnsi="Times New Roman"/>
                <w:color w:val="auto"/>
                <w:sz w:val="24"/>
              </w:rPr>
              <w:t xml:space="preserve">: </w:t>
            </w:r>
            <w:r w:rsidRPr="004367B2">
              <w:rPr>
                <w:rFonts w:ascii="Times New Roman" w:hAnsi="Times New Roman"/>
                <w:color w:val="auto"/>
                <w:szCs w:val="20"/>
              </w:rPr>
              <w:t>a document that gives detailed information about the nature of a chemical, such as physical and chemical properties, health, safety, fire, and environmental hazards of a chemical product.</w:t>
            </w:r>
          </w:p>
          <w:p w:rsidR="0046027C" w:rsidRPr="004367B2" w:rsidRDefault="0046027C" w:rsidP="001665E3">
            <w:pPr>
              <w:autoSpaceDE w:val="0"/>
              <w:autoSpaceDN w:val="0"/>
              <w:adjustRightInd w:val="0"/>
              <w:rPr>
                <w:rFonts w:ascii="Times New Roman" w:hAnsi="Times New Roman"/>
                <w:color w:val="auto"/>
                <w:sz w:val="24"/>
              </w:rPr>
            </w:pPr>
            <w:r>
              <w:rPr>
                <w:rFonts w:ascii="Times New Roman" w:hAnsi="Times New Roman"/>
                <w:noProof/>
                <w:color w:val="auto"/>
                <w:sz w:val="24"/>
              </w:rPr>
              <w:drawing>
                <wp:inline distT="0" distB="0" distL="0" distR="0">
                  <wp:extent cx="735965" cy="735965"/>
                  <wp:effectExtent l="1905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735965" cy="735965"/>
                          </a:xfrm>
                          <a:prstGeom prst="rect">
                            <a:avLst/>
                          </a:prstGeom>
                          <a:noFill/>
                          <a:ln w="9525">
                            <a:noFill/>
                            <a:miter lim="800000"/>
                            <a:headEnd/>
                            <a:tailEnd/>
                          </a:ln>
                        </pic:spPr>
                      </pic:pic>
                    </a:graphicData>
                  </a:graphic>
                </wp:inline>
              </w:drawing>
            </w:r>
          </w:p>
        </w:tc>
      </w:tr>
    </w:tbl>
    <w:p w:rsidR="0046027C" w:rsidRDefault="0046027C" w:rsidP="0046027C"/>
    <w:p w:rsidR="0046027C" w:rsidRDefault="0046027C" w:rsidP="0046027C">
      <w:proofErr w:type="gramStart"/>
      <w:r>
        <w:t>3.</w:t>
      </w:r>
      <w:r w:rsidRPr="00F87BE6">
        <w:rPr>
          <w:b/>
        </w:rPr>
        <w:t>Flinn</w:t>
      </w:r>
      <w:proofErr w:type="gramEnd"/>
      <w:r w:rsidRPr="00F87BE6">
        <w:rPr>
          <w:b/>
        </w:rPr>
        <w:t xml:space="preserve"> Safety Rules</w:t>
      </w:r>
      <w:r>
        <w:t xml:space="preserve">:  read over and have a working knowledge of the rules and regulations listed on the handout. </w:t>
      </w:r>
    </w:p>
    <w:p w:rsidR="0046027C" w:rsidRDefault="0046027C" w:rsidP="0046027C"/>
    <w:p w:rsidR="0046027C" w:rsidRDefault="0046027C" w:rsidP="0046027C"/>
    <w:p w:rsidR="000D354F" w:rsidRDefault="000D354F"/>
    <w:sectPr w:rsidR="000D354F" w:rsidSect="0046027C">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C5E7C"/>
    <w:multiLevelType w:val="hybridMultilevel"/>
    <w:tmpl w:val="DCBEFD00"/>
    <w:lvl w:ilvl="0" w:tplc="236E7B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compat/>
  <w:rsids>
    <w:rsidRoot w:val="0046027C"/>
    <w:rsid w:val="000D354F"/>
    <w:rsid w:val="00460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7C"/>
    <w:pPr>
      <w:spacing w:after="0" w:line="240" w:lineRule="auto"/>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027C"/>
    <w:rPr>
      <w:color w:val="0000FF"/>
      <w:u w:val="single"/>
    </w:rPr>
  </w:style>
  <w:style w:type="paragraph" w:styleId="NormalWeb">
    <w:name w:val="Normal (Web)"/>
    <w:basedOn w:val="Normal"/>
    <w:uiPriority w:val="99"/>
    <w:rsid w:val="0046027C"/>
    <w:pPr>
      <w:spacing w:before="100" w:beforeAutospacing="1" w:after="100" w:afterAutospacing="1"/>
    </w:pPr>
    <w:rPr>
      <w:rFonts w:ascii="Times New Roman" w:hAnsi="Times New Roman"/>
      <w:color w:val="auto"/>
      <w:sz w:val="24"/>
    </w:rPr>
  </w:style>
  <w:style w:type="paragraph" w:styleId="BalloonText">
    <w:name w:val="Balloon Text"/>
    <w:basedOn w:val="Normal"/>
    <w:link w:val="BalloonTextChar"/>
    <w:uiPriority w:val="99"/>
    <w:semiHidden/>
    <w:unhideWhenUsed/>
    <w:rsid w:val="0046027C"/>
    <w:rPr>
      <w:rFonts w:ascii="Tahoma" w:hAnsi="Tahoma" w:cs="Tahoma"/>
      <w:sz w:val="16"/>
      <w:szCs w:val="16"/>
    </w:rPr>
  </w:style>
  <w:style w:type="character" w:customStyle="1" w:styleId="BalloonTextChar">
    <w:name w:val="Balloon Text Char"/>
    <w:basedOn w:val="DefaultParagraphFont"/>
    <w:link w:val="BalloonText"/>
    <w:uiPriority w:val="99"/>
    <w:semiHidden/>
    <w:rsid w:val="0046027C"/>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ahrenheit" TargetMode="External"/><Relationship Id="rId13" Type="http://schemas.openxmlformats.org/officeDocument/2006/relationships/image" Target="media/image5.png"/><Relationship Id="rId18" Type="http://schemas.openxmlformats.org/officeDocument/2006/relationships/hyperlink" Target="http://en.wikipedia.org/wiki/Vir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en.wikipedia.org/wiki/Flash_point" TargetMode="External"/><Relationship Id="rId12" Type="http://schemas.openxmlformats.org/officeDocument/2006/relationships/image" Target="media/image4.png"/><Relationship Id="rId17" Type="http://schemas.openxmlformats.org/officeDocument/2006/relationships/hyperlink" Target="http://en.wikipedia.org/wiki/Bacteria"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en.wikipedia.org/wiki/Microorganism"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oleObject" Target="embeddings/oleObject1.bin"/><Relationship Id="rId5" Type="http://schemas.openxmlformats.org/officeDocument/2006/relationships/image" Target="media/image1.emf"/><Relationship Id="rId15" Type="http://schemas.openxmlformats.org/officeDocument/2006/relationships/hyperlink" Target="http://en.wikipedia.org/wiki/Food_irradiation" TargetMode="External"/><Relationship Id="rId23" Type="http://schemas.openxmlformats.org/officeDocument/2006/relationships/image" Target="media/image9.png"/><Relationship Id="rId10" Type="http://schemas.openxmlformats.org/officeDocument/2006/relationships/hyperlink" Target="http://en.wikipedia.org/wiki/Gasoline" TargetMode="External"/><Relationship Id="rId19" Type="http://schemas.openxmlformats.org/officeDocument/2006/relationships/hyperlink" Target="http://en.wikipedia.org/wiki/Insect" TargetMode="External"/><Relationship Id="rId4" Type="http://schemas.openxmlformats.org/officeDocument/2006/relationships/webSettings" Target="webSettings.xml"/><Relationship Id="rId9" Type="http://schemas.openxmlformats.org/officeDocument/2006/relationships/hyperlink" Target="http://en.wikipedia.org/wiki/Methanol" TargetMode="External"/><Relationship Id="rId14" Type="http://schemas.openxmlformats.org/officeDocument/2006/relationships/hyperlink" Target="http://en.wikipedia.org/wiki/Ionizing_radiation"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0</DocSecurity>
  <Lines>18</Lines>
  <Paragraphs>5</Paragraphs>
  <ScaleCrop>false</ScaleCrop>
  <Company>FortBend ISD</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Melissa.Paul</dc:creator>
  <cp:keywords/>
  <dc:description/>
  <cp:lastModifiedBy>Melissa.Paul</cp:lastModifiedBy>
  <cp:revision>1</cp:revision>
  <dcterms:created xsi:type="dcterms:W3CDTF">2010-08-26T03:14:00Z</dcterms:created>
  <dcterms:modified xsi:type="dcterms:W3CDTF">2010-08-26T03:16:00Z</dcterms:modified>
</cp:coreProperties>
</file>